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2.jpg" ContentType="image/jpe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2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tulo3"/>
      </w:pPr>
      <w:bookmarkStart w:id="21" w:name="figure-1"/>
      <w:bookmarkEnd w:id="21"/>
      <w:r>
        <w:t xml:space="preserve">Figure 1</w:t>
      </w:r>
    </w:p>
    <w:p>
      <w:pPr>
        <w:pStyle w:val="Figure"/>
      </w:pPr>
      <w:r>
        <w:drawing>
          <wp:inline>
            <wp:extent cx="4039576" cy="5715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out/fig/geomap/mapa_situacio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576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rPr>
          <w:b/>
        </w:rPr>
        <w:t xml:space="preserve">Figure 1</w:t>
      </w:r>
      <w:r>
        <w:t xml:space="preserve">. Distribution of</w:t>
      </w:r>
      <w:r>
        <w:t xml:space="preserve"> </w:t>
      </w:r>
      <w:r>
        <w:rPr>
          <w:i/>
        </w:rPr>
        <w:t xml:space="preserve">Quercus pyrenaica</w:t>
      </w:r>
      <w:r>
        <w:t xml:space="preserve"> </w:t>
      </w:r>
      <w:r>
        <w:t xml:space="preserve">forests in Iberian Peninsula (a) and in Sierra Nevada mountain range, where three clusters of oak populations have been identified</w:t>
      </w:r>
      <w:r>
        <w:t xml:space="preserve"> </w:t>
      </w:r>
      <w:r>
        <w:t xml:space="preserve">(Pérez-Luque et al. 2015)</w:t>
      </w:r>
      <w:r>
        <w:t xml:space="preserve"> </w:t>
      </w:r>
      <w:r>
        <w:t xml:space="preserve">(showed in different colour) (b). A grid of with the MODIS pixels for each population is shown (see material and methods). Detailed location of the sampling sites: northern (San Juan, SJ) (c) and southern ones (Cáñar: CALow and CAHigh) (d). Colour Orthophotography of 2009 from Regional Ministry of the Environment, Regional Government of Andalusia.</w:t>
      </w:r>
    </w:p>
    <w:p>
      <w:pPr>
        <w:pStyle w:val="Ttulo3"/>
      </w:pPr>
      <w:bookmarkStart w:id="23" w:name="figure-2"/>
      <w:bookmarkEnd w:id="23"/>
      <w:r>
        <w:t xml:space="preserve">Figure 2</w:t>
      </w:r>
    </w:p>
    <w:p>
      <w:pPr>
        <w:pStyle w:val="FirstParagraph"/>
      </w:pPr>
      <w:r>
        <w:drawing>
          <wp:inline>
            <wp:extent cx="5943600" cy="6934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34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2.</w:t>
      </w:r>
      <w:r>
        <w:t xml:space="preserve"> </w:t>
      </w:r>
      <w:r>
        <w:t xml:space="preserve">Comparison of EVI profile for the reference period (</w:t>
      </w:r>
      <w:r>
        <w:rPr>
          <w:i/>
        </w:rPr>
        <w:t xml:space="preserve">gray</w:t>
      </w:r>
      <w:r>
        <w:t xml:space="preserve">) and during the 2005 (</w:t>
      </w:r>
      <w:r>
        <w:rPr>
          <w:i/>
        </w:rPr>
        <w:t xml:space="preserve">green</w:t>
      </w:r>
      <w:r>
        <w:t xml:space="preserve">) and 2012 (</w:t>
      </w:r>
      <w:r>
        <w:rPr>
          <w:i/>
        </w:rPr>
        <w:t xml:space="preserve">blue</w:t>
      </w:r>
      <w:r>
        <w:t xml:space="preserve">) drought events (a) (mean of all analyzed pixels). EVI standardized anomaly (</w:t>
      </w:r>
      <m:oMath>
        <m:r>
          <m:t>E</m:t>
        </m:r>
        <m:r>
          <m:t>V</m:t>
        </m:r>
        <m:r>
          <m:t>I</m:t>
        </m:r>
        <m:r>
          <m:t> </m:t>
        </m:r>
        <m:r>
          <m:t>s</m:t>
        </m:r>
        <m:r>
          <m:t>a</m:t>
        </m:r>
      </m:oMath>
      <w:r>
        <w:t xml:space="preserve">) during the period 2000-2016 for northern and southern populations (b). Error bars show standard error.</w:t>
      </w:r>
    </w:p>
    <w:p>
      <w:pPr>
        <w:pStyle w:val="Ttulo3"/>
      </w:pPr>
      <w:bookmarkStart w:id="25" w:name="figure-3"/>
      <w:bookmarkEnd w:id="25"/>
      <w:r>
        <w:t xml:space="preserve">Figure 3</w:t>
      </w:r>
    </w:p>
    <w:p>
      <w:pPr>
        <w:pStyle w:val="FirstParagraph"/>
      </w:pPr>
      <w:r>
        <w:drawing>
          <wp:inline>
            <wp:extent cx="5943600" cy="6934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1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34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3.</w:t>
      </w:r>
      <w:r>
        <w:t xml:space="preserve"> </w:t>
      </w:r>
      <w:r>
        <w:t xml:space="preserve">Response of northern (</w:t>
      </w:r>
      <w:r>
        <w:rPr>
          <w:i/>
        </w:rPr>
        <w:t xml:space="preserve">black</w:t>
      </w:r>
      <w:r>
        <w:t xml:space="preserve">) and southern (</w:t>
      </w:r>
      <w:r>
        <w:rPr>
          <w:i/>
        </w:rPr>
        <w:t xml:space="preserve">blue</w:t>
      </w:r>
      <w:r>
        <w:t xml:space="preserve">) populations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forests to drought in terms of resistance, recovery and resilience of greenness (EVI; a) and tree radial growth (BAI; b) for the years 2005 and 2012. Different letters above bars indicate significant post hoc differences between groups (see material and methods).</w:t>
      </w:r>
    </w:p>
    <w:p>
      <w:pPr>
        <w:pStyle w:val="Ttulo3"/>
      </w:pPr>
      <w:bookmarkStart w:id="27" w:name="figure-4"/>
      <w:bookmarkEnd w:id="27"/>
      <w:r>
        <w:t xml:space="preserve">Figure 4</w:t>
      </w:r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1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4.</w:t>
      </w:r>
      <w:r>
        <w:t xml:space="preserve"> </w:t>
      </w:r>
      <w:r>
        <w:t xml:space="preserve">Response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forests to 2005 (</w:t>
      </w:r>
      <w:r>
        <w:rPr>
          <w:i/>
        </w:rPr>
        <w:t xml:space="preserve">black</w:t>
      </w:r>
      <w:r>
        <w:t xml:space="preserve">) and 2012 (</w:t>
      </w:r>
      <w:r>
        <w:rPr>
          <w:i/>
        </w:rPr>
        <w:t xml:space="preserve">red</w:t>
      </w:r>
      <w:r>
        <w:t xml:space="preserve">) drought events in terms of resistance, recovery and resilience of greenness (EVI; a) and tree radial growth (BAI; b) by site. Different letters above bars indicate significant post hoc differences between groups (see material and methods).</w:t>
      </w:r>
    </w:p>
    <w:p>
      <w:pPr>
        <w:pStyle w:val="Ttulo3"/>
      </w:pPr>
      <w:bookmarkStart w:id="29" w:name="figure-5"/>
      <w:bookmarkEnd w:id="29"/>
      <w:r>
        <w:t xml:space="preserve">Figure 5</w:t>
      </w:r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1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5.</w:t>
      </w:r>
      <w:r>
        <w:t xml:space="preserve"> </w:t>
      </w:r>
      <w:r>
        <w:t xml:space="preserve">Basal Area Increment (BAI) chronologies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for northern population (SJ;</w:t>
      </w:r>
      <w:r>
        <w:t xml:space="preserve"> </w:t>
      </w:r>
      <w:r>
        <w:rPr>
          <w:i/>
        </w:rPr>
        <w:t xml:space="preserve">green</w:t>
      </w:r>
      <w:r>
        <w:t xml:space="preserve">) and southern ones: low-elevation (CA_Low;</w:t>
      </w:r>
      <w:r>
        <w:t xml:space="preserve"> </w:t>
      </w:r>
      <w:r>
        <w:rPr>
          <w:i/>
        </w:rPr>
        <w:t xml:space="preserve">pink</w:t>
      </w:r>
      <w:r>
        <w:t xml:space="preserve">) and high-elevation (CA_High,</w:t>
      </w:r>
      <w:r>
        <w:t xml:space="preserve"> </w:t>
      </w:r>
      <w:r>
        <w:rPr>
          <w:i/>
        </w:rPr>
        <w:t xml:space="preserve">purple</w:t>
      </w:r>
      <w:r>
        <w:t xml:space="preserve">) sites. Shading areas coorespond to standard error of the mean. Number of series are displayed in the upper plot.</w:t>
      </w:r>
    </w:p>
    <w:p>
      <w:pPr>
        <w:pStyle w:val="Ttulo1"/>
      </w:pPr>
      <w:bookmarkStart w:id="31" w:name="figure-6"/>
      <w:bookmarkEnd w:id="31"/>
      <w:r>
        <w:t xml:space="preserve">Figure 6</w:t>
      </w:r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1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6.</w:t>
      </w:r>
      <w:r>
        <w:t xml:space="preserve"> </w:t>
      </w:r>
      <w:r>
        <w:t xml:space="preserve">Residual Tree-ring chronologies obtained for the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sites. Dashed red lines indicate the start of the reliable period (EPS &gt; 0.85). Dotted black lines showing the three most recent severe drought years (1995, 2005 and 2012).</w:t>
      </w:r>
    </w:p>
    <w:p>
      <w:pPr>
        <w:pStyle w:val="Ttulo1"/>
      </w:pPr>
      <w:bookmarkStart w:id="33" w:name="figure-7"/>
      <w:bookmarkEnd w:id="33"/>
      <w:r>
        <w:t xml:space="preserve">Figure 7</w:t>
      </w:r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1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7.</w:t>
      </w:r>
      <w:r>
        <w:t xml:space="preserve"> </w:t>
      </w:r>
      <w:r>
        <w:t xml:space="preserve">Correlation coefficients obtained by relating tree-ring residual chronologies (RWI)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and monthly climatic data (precipitation (a), SPEI (b), maximun (c) and minimun (d) temperatures) for northern site (</w:t>
      </w:r>
      <w:r>
        <w:rPr>
          <w:i/>
        </w:rPr>
        <w:t xml:space="preserve">green</w:t>
      </w:r>
      <w:r>
        <w:t xml:space="preserve"> </w:t>
      </w:r>
      <w:r>
        <w:t xml:space="preserve">bars), low-elevation southern site (</w:t>
      </w:r>
      <w:r>
        <w:rPr>
          <w:i/>
        </w:rPr>
        <w:t xml:space="preserve">light blue</w:t>
      </w:r>
      <w:r>
        <w:t xml:space="preserve"> </w:t>
      </w:r>
      <w:r>
        <w:t xml:space="preserve">bars) and high-elevation shouthern (</w:t>
      </w:r>
      <w:r>
        <w:rPr>
          <w:i/>
        </w:rPr>
        <w:t xml:space="preserve">dark blue</w:t>
      </w:r>
      <w:r>
        <w:t xml:space="preserve"> </w:t>
      </w:r>
      <w:r>
        <w:t xml:space="preserve">bars) site. Asteriks indicate significant (</w:t>
      </w:r>
      <m:oMath>
        <m:r>
          <m:t>P</m:t>
        </m:r>
        <m:r>
          <m:t>&lt;</m:t>
        </m:r>
        <m:r>
          <m:t>0.05</m:t>
        </m:r>
      </m:oMath>
      <w:r>
        <w:t xml:space="preserve">) correlation coefficients.</w:t>
      </w:r>
    </w:p>
    <w:p>
      <w:pPr>
        <w:pStyle w:val="Ttulo1"/>
      </w:pPr>
      <w:bookmarkStart w:id="35" w:name="figure-8"/>
      <w:bookmarkEnd w:id="35"/>
      <w:r>
        <w:t xml:space="preserve">Figure 8</w:t>
      </w:r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1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8.</w:t>
      </w:r>
      <w:r>
        <w:t xml:space="preserve"> </w:t>
      </w:r>
      <w:r>
        <w:t xml:space="preserve">Comparison of median growth change (</w:t>
      </w:r>
      <m:oMath>
        <m:r>
          <m:t>G</m:t>
        </m:r>
        <m:r>
          <m:t>C</m:t>
        </m:r>
      </m:oMath>
      <w:r>
        <w:t xml:space="preserve">) following</w:t>
      </w:r>
      <w:r>
        <w:t xml:space="preserve"> </w:t>
      </w:r>
      <w:r>
        <w:t xml:space="preserve">(Nowacki and Abrams 1997)</w:t>
      </w:r>
      <w:r>
        <w:t xml:space="preserve"> </w:t>
      </w:r>
      <w:r>
        <w:t xml:space="preserve">for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sites. Dashed black lines indicate a threshold of 50 % of GC (see material and methods).</w:t>
      </w:r>
    </w:p>
    <w:p>
      <w:pPr>
        <w:pStyle w:val="Ttulo1"/>
      </w:pPr>
      <w:bookmarkStart w:id="37" w:name="figure-9"/>
      <w:bookmarkEnd w:id="37"/>
      <w:r>
        <w:t xml:space="preserve">Figure 9</w:t>
      </w:r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9</w:t>
      </w:r>
      <w:r>
        <w:t xml:space="preserve">. Percentage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trees affected by GC &gt; 50 % by site.</w:t>
      </w:r>
      <w:r>
        <w:t xml:space="preserve"> </w:t>
      </w:r>
      <w:r>
        <w:rPr>
          <w:i/>
        </w:rPr>
        <w:t xml:space="preserve">Black</w:t>
      </w:r>
      <w:r>
        <w:t xml:space="preserve"> </w:t>
      </w:r>
      <w:r>
        <w:t xml:space="preserve">line shows number of trees (rigth-axis).</w:t>
      </w:r>
    </w:p>
    <w:p>
      <w:pPr>
        <w:pStyle w:val="Bibliografa"/>
      </w:pPr>
      <w:r>
        <w:t xml:space="preserve">Nowacki, G. J., and M. D. Abrams. 1997. Radial-growth averaging criteria for reconstructing disturbance histories from presettlement-origing oaks. Ecological Monographs 67:225–249.</w:t>
      </w:r>
    </w:p>
    <w:p>
      <w:pPr>
        <w:pStyle w:val="Bibliografa"/>
      </w:pPr>
      <w:r>
        <w:t xml:space="preserve">Pérez-Luque, A. J., R. Zamora, F. J. Bonet, and R. Pérez-Pérez. 2015. Dataset of migrame project (global change, altitudinal range shift and colonization of degraded habitats in mediterranean mountains). PhytoKeys 56:61–81.</w:t>
      </w:r>
    </w:p>
    <w:sectPr w:rsidR="005A04E7" w:rsidRPr="003659D1" w:rsidSect="002A5C4B">
      <w:pgSz w:w="12240" w:h="15840"/>
      <w:pgMar w:top="1440" w:right="1440" w:bottom="1440" w:left="1440" w:header="720" w:footer="720" w:gutter="0"/>
      <w:lnNumType w:countBy="1" w:restart="continuous"/>
      <w:cols w:space="720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ＭＳ Ｐゴシック">
    <w:charset w:val="4E"/>
    <w:family w:val="auto"/>
    <w:pitch w:val="variable"/>
    <w:sig w:usb0="E00002FF" w:usb1="6AC7FDFB" w:usb2="00000012" w:usb3="00000000" w:csb0="000200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Lucida Grande">
    <w:altName w:val="Arial"/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349DFE"/>
    <w:multiLevelType w:val="multilevel"/>
    <w:tmpl w:val="54C439B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A47EE96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EA1050C4"/>
    <w:multiLevelType w:val="multilevel"/>
    <w:tmpl w:val="E60283FC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158A9882"/>
    <w:multiLevelType w:val="multilevel"/>
    <w:tmpl w:val="3106F92A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3D4ABF41"/>
    <w:multiLevelType w:val="multilevel"/>
    <w:tmpl w:val="4C74926A"/>
    <w:lvl w:ilvl="0">
      <w:start w:val="2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4AE73AA5"/>
    <w:multiLevelType w:val="multilevel"/>
    <w:tmpl w:val="9CD4E85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6201F114"/>
    <w:multiLevelType w:val="multilevel"/>
    <w:tmpl w:val="B6380E9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75C20D2B"/>
    <w:multiLevelType w:val="multilevel"/>
    <w:tmpl w:val="7AF23D68"/>
    <w:lvl w:ilvl="0">
      <w:start w:val="3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cac8a68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1"/>
  </w:num>
  <w:num w:numId="2">
    <w:abstractNumId w:val="6"/>
  </w:num>
  <w:num w:numId="3">
    <w:abstractNumId w:val="0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5">
    <w:abstractNumId w:val="5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7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8">
    <w:abstractNumId w:val="7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hyphenationZone w:val="4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>
    <w:lsdException w:name="heading 6" w:qFormat="1"/>
  </w:latentStyles>
  <w:style w:type="paragraph" w:default="1" w:styleId="Normal">
    <w:name w:val="Normal"/>
    <w:qFormat/>
    <w:rsid w:val="00041949"/>
    <w:pPr>
      <w:spacing w:before="180" w:after="180" w:line="360" w:lineRule="auto"/>
    </w:pPr>
    <w:rPr>
      <w:sz w:val="20"/>
    </w:rPr>
  </w:style>
  <w:style w:type="paragraph" w:styleId="Ttulo1">
    <w:name w:val="heading 1"/>
    <w:basedOn w:val="Normal"/>
    <w:next w:val="Normal"/>
    <w:autoRedefine/>
    <w:uiPriority w:val="9"/>
    <w:qFormat/>
    <w:rsid w:val="0006512E"/>
    <w:pPr>
      <w:keepNext/>
      <w:keepLines/>
      <w:spacing w:before="600" w:after="120"/>
      <w:outlineLvl w:val="0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Ttulo2">
    <w:name w:val="heading 2"/>
    <w:basedOn w:val="Normal"/>
    <w:next w:val="Normal"/>
    <w:autoRedefine/>
    <w:uiPriority w:val="9"/>
    <w:unhideWhenUsed/>
    <w:qFormat/>
    <w:rsid w:val="00FD5C5D"/>
    <w:pPr>
      <w:keepNext/>
      <w:keepLines/>
      <w:spacing w:before="320" w:after="120" w:line="480" w:lineRule="auto"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Ttulo3">
    <w:name w:val="heading 3"/>
    <w:basedOn w:val="Ttulo2"/>
    <w:next w:val="Normal"/>
    <w:autoRedefine/>
    <w:uiPriority w:val="9"/>
    <w:unhideWhenUsed/>
    <w:qFormat/>
    <w:rsid w:val="0006512E"/>
    <w:pPr>
      <w:outlineLvl w:val="2"/>
    </w:pPr>
  </w:style>
  <w:style w:type="paragraph" w:styleId="Ttulo4">
    <w:name w:val="heading 4"/>
    <w:basedOn w:val="Ttulo3"/>
    <w:next w:val="Normal"/>
    <w:uiPriority w:val="9"/>
    <w:unhideWhenUsed/>
    <w:qFormat/>
    <w:rsid w:val="00792BF1"/>
    <w:pPr>
      <w:outlineLvl w:val="3"/>
    </w:pPr>
    <w:rPr>
      <w:lang w:val="es-ES"/>
    </w:rPr>
  </w:style>
  <w:style w:type="paragraph" w:styleId="Ttulo5">
    <w:name w:val="heading 5"/>
    <w:basedOn w:val="Ttulo4"/>
    <w:next w:val="Normal"/>
    <w:uiPriority w:val="9"/>
    <w:unhideWhenUsed/>
    <w:qFormat/>
    <w:rsid w:val="002D03B3"/>
    <w:pPr>
      <w:outlineLvl w:val="4"/>
    </w:pPr>
  </w:style>
  <w:style w:type="paragraph" w:styleId="Ttulo6">
    <w:name w:val="heading 6"/>
    <w:basedOn w:val="Normal"/>
    <w:next w:val="Normal"/>
    <w:link w:val="Ttulo6Car"/>
    <w:qFormat/>
    <w:rsid w:val="00380EBE"/>
    <w:pPr>
      <w:keepNext/>
      <w:keepLines/>
      <w:pageBreakBefore/>
      <w:spacing w:before="200" w:after="0"/>
      <w:outlineLvl w:val="5"/>
    </w:pPr>
    <w:rPr>
      <w:rFonts w:asciiTheme="majorHAnsi" w:eastAsiaTheme="majorEastAsia" w:hAnsiTheme="majorHAnsi" w:cstheme="majorBidi"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ompact">
    <w:name w:val="Compact"/>
    <w:basedOn w:val="Normal"/>
    <w:qFormat/>
    <w:pPr>
      <w:spacing w:before="36" w:after="36"/>
    </w:pPr>
  </w:style>
  <w:style w:type="paragraph" w:styleId="Ttulo">
    <w:name w:val="Title"/>
    <w:basedOn w:val="Normal"/>
    <w:next w:val="Normal"/>
    <w:qFormat/>
    <w:rsid w:val="00EC1535"/>
    <w:pPr>
      <w:keepNext/>
      <w:keepLines/>
      <w:spacing w:before="480" w:after="720"/>
    </w:pPr>
    <w:rPr>
      <w:rFonts w:asciiTheme="majorHAnsi" w:eastAsiaTheme="majorEastAsia" w:hAnsiTheme="majorHAnsi" w:cstheme="majorBidi"/>
      <w:b/>
      <w:bCs/>
      <w:sz w:val="28"/>
      <w:szCs w:val="36"/>
    </w:rPr>
  </w:style>
  <w:style w:type="paragraph" w:styleId="Subttulo">
    <w:name w:val="Subtitle"/>
    <w:basedOn w:val="Ttulo"/>
    <w:next w:val="Normal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Normal"/>
    <w:qFormat/>
    <w:rsid w:val="0006512E"/>
    <w:pPr>
      <w:keepNext/>
      <w:keepLines/>
      <w:spacing w:before="120" w:after="320"/>
    </w:pPr>
    <w:rPr>
      <w:rFonts w:ascii="Arial" w:hAnsi="Arial"/>
    </w:rPr>
  </w:style>
  <w:style w:type="paragraph" w:styleId="Fecha">
    <w:name w:val="Date"/>
    <w:next w:val="Normal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Normal"/>
    <w:qFormat/>
    <w:pPr>
      <w:keepNext/>
      <w:keepLines/>
      <w:spacing w:before="300" w:after="300"/>
    </w:pPr>
    <w:rPr>
      <w:szCs w:val="20"/>
    </w:rPr>
  </w:style>
  <w:style w:type="paragraph" w:styleId="Bibliografa">
    <w:name w:val="Bibliography"/>
    <w:basedOn w:val="Normal"/>
    <w:qFormat/>
    <w:rsid w:val="006C57ED"/>
    <w:pPr>
      <w:ind w:left="567" w:hanging="567"/>
    </w:pPr>
  </w:style>
  <w:style w:type="paragraph" w:customStyle="1" w:styleId="BlockQuote">
    <w:name w:val="Block Quote"/>
    <w:basedOn w:val="Normal"/>
    <w:next w:val="Normal"/>
    <w:uiPriority w:val="9"/>
    <w:unhideWhenUsed/>
    <w:qFormat/>
    <w:rsid w:val="00975FD8"/>
    <w:pPr>
      <w:spacing w:before="100" w:after="100" w:line="240" w:lineRule="auto"/>
    </w:pPr>
    <w:rPr>
      <w:rFonts w:asciiTheme="majorHAnsi" w:eastAsiaTheme="majorEastAsia" w:hAnsiTheme="majorHAnsi" w:cstheme="majorBidi"/>
      <w:bCs/>
      <w:szCs w:val="20"/>
    </w:rPr>
  </w:style>
  <w:style w:type="paragraph" w:styleId="Textonotapie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Textodecuerpo">
    <w:name w:val="Body Text"/>
    <w:basedOn w:val="Normal"/>
    <w:link w:val="TextodecuerpoCar"/>
    <w:pPr>
      <w:spacing w:after="120"/>
    </w:pPr>
  </w:style>
  <w:style w:type="paragraph" w:customStyle="1" w:styleId="TableCaption">
    <w:name w:val="Table Caption"/>
    <w:basedOn w:val="Normal"/>
    <w:pPr>
      <w:spacing w:before="0"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Fuentedeprrafopredeter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0">
    <w:name w:val="Source Code"/>
    <w:basedOn w:val="Normal"/>
    <w:pPr>
      <w:wordWrap w:val="0"/>
    </w:pPr>
  </w:style>
  <w:style w:type="character" w:customStyle="1" w:styleId="KeywordTok0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0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0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0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0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0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0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0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0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0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0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0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0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0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styleId="Hipervnculo">
    <w:name w:val="Hyperlink"/>
    <w:basedOn w:val="Fuentedeprrafopredeter"/>
    <w:rsid w:val="00A6715F"/>
    <w:rPr>
      <w:color w:val="0000FF" w:themeColor="hyperlink"/>
      <w:u w:val="single"/>
    </w:rPr>
  </w:style>
  <w:style w:type="character" w:customStyle="1" w:styleId="Ttulo6Car">
    <w:name w:val="Título 6 Car"/>
    <w:basedOn w:val="Fuentedeprrafopredeter"/>
    <w:link w:val="Ttulo6"/>
    <w:rsid w:val="00380EBE"/>
    <w:rPr>
      <w:rFonts w:asciiTheme="majorHAnsi" w:eastAsiaTheme="majorEastAsia" w:hAnsiTheme="majorHAnsi" w:cstheme="majorBidi"/>
      <w:iCs/>
      <w:sz w:val="20"/>
    </w:rPr>
  </w:style>
  <w:style w:type="character" w:customStyle="1" w:styleId="TextodecuerpoCar">
    <w:name w:val="Texto de cuerpo Car"/>
    <w:basedOn w:val="Fuentedeprrafopredeter"/>
    <w:link w:val="Textodecuerpo"/>
    <w:rsid w:val="00C102C2"/>
    <w:rPr>
      <w:sz w:val="20"/>
    </w:rPr>
  </w:style>
  <w:style w:type="character" w:styleId="Nmerodelnea">
    <w:name w:val="line number"/>
    <w:basedOn w:val="Fuentedeprrafopredeter"/>
    <w:rsid w:val="002A5C4B"/>
  </w:style>
  <w:style w:type="paragraph" w:styleId="Encabezado">
    <w:name w:val="header"/>
    <w:basedOn w:val="Normal"/>
    <w:link w:val="EncabezadoCar"/>
    <w:rsid w:val="003659D1"/>
    <w:pPr>
      <w:tabs>
        <w:tab w:val="center" w:pos="4419"/>
        <w:tab w:val="right" w:pos="8838"/>
      </w:tabs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3659D1"/>
    <w:rPr>
      <w:sz w:val="20"/>
    </w:rPr>
  </w:style>
  <w:style w:type="paragraph" w:styleId="Piedepgina">
    <w:name w:val="footer"/>
    <w:basedOn w:val="Normal"/>
    <w:link w:val="PiedepginaCar"/>
    <w:rsid w:val="003659D1"/>
    <w:pPr>
      <w:tabs>
        <w:tab w:val="center" w:pos="4419"/>
        <w:tab w:val="right" w:pos="8838"/>
      </w:tabs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3659D1"/>
    <w:rPr>
      <w:sz w:val="20"/>
    </w:rPr>
  </w:style>
  <w:style w:type="paragraph" w:styleId="Textodeglobo">
    <w:name w:val="Balloon Text"/>
    <w:basedOn w:val="Normal"/>
    <w:link w:val="TextodegloboCar"/>
    <w:rsid w:val="003659D1"/>
    <w:pPr>
      <w:spacing w:before="0"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3659D1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2" Target="media/rId22.jp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24" Target="media/rId2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248</Words>
  <Characters>1364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Ciencia reproducible: qué, por qué, cómo (include English title too)</vt:lpstr>
    </vt:vector>
  </TitlesOfParts>
  <Company>Microsoft</Company>
  <LinksUpToDate>false</LinksUpToDate>
  <CharactersWithSpaces>1609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2018-02-12T17:16:10Z</dcterms:created>
  <dcterms:modified xsi:type="dcterms:W3CDTF">2018-02-12T17:16:10Z</dcterms:modified>
</cp:coreProperties>
</file>